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D2DA" w14:textId="77777777" w:rsidR="00505AE5" w:rsidRDefault="000C6199">
      <w:pPr>
        <w:pStyle w:val="Default"/>
        <w:spacing w:line="276" w:lineRule="auto"/>
        <w:jc w:val="right"/>
        <w:rPr>
          <w:rFonts w:ascii="Calibri" w:hAnsi="Calibri" w:cs="Calibri"/>
          <w:i/>
          <w:iCs/>
        </w:rPr>
      </w:pPr>
      <w:r>
        <w:rPr>
          <w:rFonts w:ascii="Calibri" w:hAnsi="Calibri" w:cs="Calibri"/>
          <w:i/>
          <w:iCs/>
        </w:rPr>
        <w:t xml:space="preserve">Projekt uchwały </w:t>
      </w:r>
    </w:p>
    <w:p w14:paraId="6BC8DB06" w14:textId="77777777" w:rsidR="00505AE5" w:rsidRDefault="000C6199">
      <w:pPr>
        <w:pStyle w:val="Default"/>
        <w:spacing w:line="276" w:lineRule="auto"/>
        <w:jc w:val="right"/>
        <w:rPr>
          <w:rFonts w:ascii="Calibri" w:hAnsi="Calibri" w:cs="Calibri"/>
          <w:i/>
          <w:iCs/>
        </w:rPr>
      </w:pPr>
      <w:r>
        <w:rPr>
          <w:rFonts w:ascii="Calibri" w:hAnsi="Calibri" w:cs="Calibri"/>
          <w:i/>
          <w:iCs/>
        </w:rPr>
        <w:t>z dnia 31 lipca 2026 r.</w:t>
      </w:r>
    </w:p>
    <w:p w14:paraId="138754B7" w14:textId="77777777" w:rsidR="00505AE5" w:rsidRDefault="00505AE5">
      <w:pPr>
        <w:pStyle w:val="Default"/>
        <w:jc w:val="both"/>
        <w:rPr>
          <w:rFonts w:ascii="Calibri" w:hAnsi="Calibri" w:cs="Calibri"/>
        </w:rPr>
      </w:pPr>
    </w:p>
    <w:p w14:paraId="49C9BABC" w14:textId="77777777" w:rsidR="00505AE5" w:rsidRDefault="000C6199">
      <w:pPr>
        <w:pStyle w:val="Default"/>
        <w:spacing w:line="276" w:lineRule="auto"/>
        <w:jc w:val="center"/>
        <w:rPr>
          <w:rFonts w:ascii="Calibri" w:hAnsi="Calibri" w:cs="Calibri"/>
          <w:b/>
          <w:bCs/>
          <w:color w:val="auto"/>
        </w:rPr>
      </w:pPr>
      <w:r>
        <w:rPr>
          <w:rFonts w:ascii="Calibri" w:hAnsi="Calibri" w:cs="Calibri"/>
          <w:b/>
          <w:bCs/>
          <w:color w:val="auto"/>
        </w:rPr>
        <w:t xml:space="preserve">UCHWAŁA NR …/…/2026 </w:t>
      </w:r>
    </w:p>
    <w:p w14:paraId="5B0D985C" w14:textId="77777777" w:rsidR="00505AE5" w:rsidRDefault="000C6199">
      <w:pPr>
        <w:pStyle w:val="Default"/>
        <w:spacing w:line="276" w:lineRule="auto"/>
        <w:jc w:val="center"/>
      </w:pPr>
      <w:r>
        <w:rPr>
          <w:rFonts w:ascii="Calibri" w:hAnsi="Calibri" w:cs="Calibri"/>
          <w:b/>
          <w:bCs/>
          <w:color w:val="auto"/>
        </w:rPr>
        <w:t>RADY GMINY NIEMCE</w:t>
      </w:r>
    </w:p>
    <w:p w14:paraId="339AE800" w14:textId="77777777" w:rsidR="00505AE5" w:rsidRPr="004D312E" w:rsidRDefault="000C6199">
      <w:pPr>
        <w:pStyle w:val="Default"/>
        <w:spacing w:after="240" w:line="276" w:lineRule="auto"/>
        <w:jc w:val="center"/>
        <w:rPr>
          <w:rFonts w:ascii="Calibri" w:hAnsi="Calibri" w:cs="Calibri"/>
          <w:color w:val="auto"/>
        </w:rPr>
      </w:pPr>
      <w:r w:rsidRPr="004D312E">
        <w:rPr>
          <w:rFonts w:ascii="Calibri" w:hAnsi="Calibri" w:cs="Calibri"/>
          <w:color w:val="auto"/>
        </w:rPr>
        <w:t>z dnia ……. sierpnia 2026 r.</w:t>
      </w:r>
    </w:p>
    <w:p w14:paraId="58C31506" w14:textId="717AC569" w:rsidR="00505AE5" w:rsidRPr="004D312E" w:rsidRDefault="000C6199">
      <w:pPr>
        <w:pStyle w:val="Default"/>
        <w:spacing w:after="240" w:line="276" w:lineRule="auto"/>
        <w:jc w:val="both"/>
        <w:rPr>
          <w:color w:val="auto"/>
        </w:rPr>
      </w:pPr>
      <w:r w:rsidRPr="004D312E">
        <w:rPr>
          <w:rFonts w:ascii="Calibri" w:hAnsi="Calibri" w:cs="Calibri"/>
          <w:b/>
          <w:bCs/>
          <w:color w:val="auto"/>
        </w:rPr>
        <w:t xml:space="preserve">w sprawie określenia tygodniowego obowiązkowego wymiaru godzin </w:t>
      </w:r>
      <w:r w:rsidR="00C00755" w:rsidRPr="004D312E">
        <w:rPr>
          <w:rFonts w:ascii="Calibri" w:hAnsi="Calibri" w:cs="Calibri"/>
          <w:b/>
          <w:bCs/>
          <w:color w:val="auto"/>
        </w:rPr>
        <w:t xml:space="preserve">zajęć </w:t>
      </w:r>
      <w:r w:rsidRPr="004D312E">
        <w:rPr>
          <w:rFonts w:ascii="Calibri" w:hAnsi="Calibri" w:cs="Calibri"/>
          <w:b/>
          <w:bCs/>
          <w:color w:val="auto"/>
        </w:rPr>
        <w:t>nauczycieli zatrudnionych na stanowiskach pedagogów, pedagogów specjalnych, psychologów, logopedów, terapeutów pedagogicznych i doradców zawodowych oraz</w:t>
      </w:r>
      <w:r w:rsidRPr="004D312E">
        <w:rPr>
          <w:rFonts w:cs="Calibri"/>
          <w:color w:val="auto"/>
        </w:rPr>
        <w:t xml:space="preserve"> </w:t>
      </w:r>
      <w:r w:rsidRPr="004D312E">
        <w:rPr>
          <w:rFonts w:ascii="Calibri" w:hAnsi="Calibri" w:cs="Calibri"/>
          <w:b/>
          <w:bCs/>
          <w:color w:val="auto"/>
        </w:rPr>
        <w:t>nauczycieli przedszkoli i innych placówek przedszkolnych pracujących z grupami obejmującymi dzieci 6-letnie i dzieci młodsze w szkołach i przedszkolach prowadzonych przez Gminę Niemce</w:t>
      </w:r>
    </w:p>
    <w:p w14:paraId="4F0A7CE4" w14:textId="5A9DC426" w:rsidR="00505AE5" w:rsidRPr="004D312E" w:rsidRDefault="000C6199">
      <w:pPr>
        <w:pStyle w:val="Default"/>
        <w:jc w:val="both"/>
        <w:rPr>
          <w:color w:val="auto"/>
        </w:rPr>
      </w:pPr>
      <w:r w:rsidRPr="004D312E">
        <w:rPr>
          <w:rFonts w:ascii="Calibri" w:hAnsi="Calibri" w:cs="Calibri"/>
          <w:color w:val="auto"/>
        </w:rPr>
        <w:t>Na podstawie art. 18 ust. 2 pkt 15 i 40 ust. 1 ustawy z dnia 8 marca 1990 r. o samorządzie gminnym (Dz. U. z 2026 r. poz. 662),</w:t>
      </w:r>
      <w:r w:rsidRPr="004D312E">
        <w:rPr>
          <w:color w:val="auto"/>
          <w:sz w:val="22"/>
          <w:szCs w:val="22"/>
        </w:rPr>
        <w:t xml:space="preserve"> </w:t>
      </w:r>
      <w:r w:rsidRPr="004D312E">
        <w:rPr>
          <w:rFonts w:ascii="Calibri" w:hAnsi="Calibri" w:cs="Calibri"/>
          <w:color w:val="auto"/>
        </w:rPr>
        <w:t>art. 42 ust. 7 pkt 3 lit.</w:t>
      </w:r>
      <w:r w:rsidR="00C00755" w:rsidRPr="004D312E">
        <w:rPr>
          <w:rFonts w:ascii="Calibri" w:hAnsi="Calibri" w:cs="Calibri"/>
          <w:color w:val="auto"/>
        </w:rPr>
        <w:t xml:space="preserve"> </w:t>
      </w:r>
      <w:r w:rsidRPr="004D312E">
        <w:rPr>
          <w:rFonts w:ascii="Calibri" w:hAnsi="Calibri" w:cs="Calibri"/>
          <w:color w:val="auto"/>
        </w:rPr>
        <w:t>b</w:t>
      </w:r>
      <w:r w:rsidR="00EF6C24" w:rsidRPr="004D312E">
        <w:rPr>
          <w:rFonts w:ascii="Calibri" w:hAnsi="Calibri" w:cs="Calibri"/>
          <w:color w:val="auto"/>
        </w:rPr>
        <w:t>)</w:t>
      </w:r>
      <w:r w:rsidRPr="004D312E">
        <w:rPr>
          <w:rFonts w:ascii="Calibri" w:hAnsi="Calibri" w:cs="Calibri"/>
          <w:color w:val="auto"/>
        </w:rPr>
        <w:t xml:space="preserve"> i c</w:t>
      </w:r>
      <w:r w:rsidR="00EF6C24" w:rsidRPr="004D312E">
        <w:rPr>
          <w:rFonts w:ascii="Calibri" w:hAnsi="Calibri" w:cs="Calibri"/>
          <w:color w:val="auto"/>
        </w:rPr>
        <w:t>)</w:t>
      </w:r>
      <w:r w:rsidRPr="004D312E">
        <w:rPr>
          <w:rFonts w:ascii="Calibri" w:hAnsi="Calibri" w:cs="Calibri"/>
          <w:color w:val="auto"/>
        </w:rPr>
        <w:t xml:space="preserve"> </w:t>
      </w:r>
      <w:r w:rsidR="00C00755" w:rsidRPr="004D312E">
        <w:rPr>
          <w:rFonts w:ascii="Calibri" w:hAnsi="Calibri" w:cs="Calibri"/>
          <w:color w:val="auto"/>
        </w:rPr>
        <w:t>w związku z</w:t>
      </w:r>
      <w:r w:rsidRPr="004D312E">
        <w:rPr>
          <w:rFonts w:ascii="Calibri" w:hAnsi="Calibri" w:cs="Calibri"/>
          <w:color w:val="auto"/>
        </w:rPr>
        <w:t xml:space="preserve"> art. 91d pkt 1 ustawy z dnia 26 stycznia 1982 – Karta Nauczyciela (Dz. U. z 2026 r. poz. 515), Rada Gminy Niemce uchwala, co następuje: </w:t>
      </w:r>
    </w:p>
    <w:p w14:paraId="60661E61" w14:textId="77777777" w:rsidR="00505AE5" w:rsidRPr="004D312E" w:rsidRDefault="000C6199">
      <w:pPr>
        <w:pStyle w:val="Default"/>
        <w:spacing w:line="276" w:lineRule="auto"/>
        <w:jc w:val="center"/>
        <w:rPr>
          <w:rFonts w:ascii="Calibri" w:hAnsi="Calibri" w:cs="Calibri"/>
          <w:b/>
          <w:bCs/>
          <w:color w:val="auto"/>
        </w:rPr>
      </w:pPr>
      <w:r w:rsidRPr="004D312E">
        <w:rPr>
          <w:rFonts w:ascii="Calibri" w:hAnsi="Calibri" w:cs="Calibri"/>
          <w:b/>
          <w:bCs/>
          <w:color w:val="auto"/>
        </w:rPr>
        <w:t>§ 1.</w:t>
      </w:r>
    </w:p>
    <w:p w14:paraId="48A84A20" w14:textId="2515DC24" w:rsidR="00505AE5" w:rsidRPr="004D312E" w:rsidRDefault="000C6199">
      <w:pPr>
        <w:pStyle w:val="Default"/>
        <w:spacing w:line="276" w:lineRule="auto"/>
        <w:jc w:val="both"/>
        <w:rPr>
          <w:color w:val="auto"/>
        </w:rPr>
      </w:pPr>
      <w:r w:rsidRPr="004D312E">
        <w:rPr>
          <w:rFonts w:ascii="Calibri" w:hAnsi="Calibri" w:cs="Calibri"/>
          <w:color w:val="auto"/>
        </w:rPr>
        <w:t xml:space="preserve">Określa się tygodniowy obowiązkowy wymiar godzin zajęć nauczycieli zatrudnionych </w:t>
      </w:r>
      <w:r w:rsidR="00EF6C24" w:rsidRPr="004D312E">
        <w:rPr>
          <w:rFonts w:ascii="Calibri" w:hAnsi="Calibri" w:cs="Calibri"/>
          <w:color w:val="auto"/>
        </w:rPr>
        <w:t xml:space="preserve">w szkołach i przedszkolach prowadzonych przez Gminę Niemce </w:t>
      </w:r>
      <w:r w:rsidRPr="004D312E">
        <w:rPr>
          <w:rFonts w:ascii="Calibri" w:hAnsi="Calibri" w:cs="Calibri"/>
          <w:color w:val="auto"/>
        </w:rPr>
        <w:t>na stanowiskach pedagogów, pedagogów specjalnych, psychologów, logopedów, terapeutów pedagogicznych i doradców zawodowych w wymiarze 22 godzin</w:t>
      </w:r>
      <w:r w:rsidR="00EF6C24" w:rsidRPr="004D312E">
        <w:rPr>
          <w:rFonts w:ascii="Calibri" w:hAnsi="Calibri" w:cs="Calibri"/>
          <w:color w:val="auto"/>
        </w:rPr>
        <w:t xml:space="preserve"> tygodniowo</w:t>
      </w:r>
      <w:r w:rsidR="004D312E" w:rsidRPr="004D312E">
        <w:rPr>
          <w:rFonts w:ascii="Calibri" w:hAnsi="Calibri" w:cs="Calibri"/>
          <w:color w:val="auto"/>
        </w:rPr>
        <w:t>.</w:t>
      </w:r>
    </w:p>
    <w:p w14:paraId="7B309420" w14:textId="77777777" w:rsidR="00505AE5" w:rsidRPr="004D312E" w:rsidRDefault="000C6199">
      <w:pPr>
        <w:suppressAutoHyphens w:val="0"/>
        <w:autoSpaceDE w:val="0"/>
        <w:spacing w:after="0"/>
        <w:jc w:val="center"/>
        <w:rPr>
          <w:rFonts w:cs="Calibri"/>
          <w:b/>
          <w:bCs/>
        </w:rPr>
      </w:pPr>
      <w:r w:rsidRPr="004D312E">
        <w:rPr>
          <w:rFonts w:cs="Calibri"/>
          <w:b/>
          <w:bCs/>
        </w:rPr>
        <w:t>§ 2.</w:t>
      </w:r>
    </w:p>
    <w:p w14:paraId="11AF7C0D" w14:textId="1898295E" w:rsidR="00505AE5" w:rsidRPr="004D312E" w:rsidRDefault="000C6199">
      <w:pPr>
        <w:suppressAutoHyphens w:val="0"/>
        <w:autoSpaceDE w:val="0"/>
        <w:spacing w:after="0"/>
        <w:jc w:val="both"/>
      </w:pPr>
      <w:r w:rsidRPr="004D312E">
        <w:rPr>
          <w:rFonts w:cs="Calibri"/>
          <w:kern w:val="0"/>
        </w:rPr>
        <w:t xml:space="preserve">Określa się tygodniowy obowiązkowy wymiar godzin zajęć nauczycieli przedszkoli i innych placówek przedszkolnych </w:t>
      </w:r>
      <w:r w:rsidR="00EF6C24" w:rsidRPr="004D312E">
        <w:rPr>
          <w:rFonts w:cs="Calibri"/>
          <w:kern w:val="0"/>
        </w:rPr>
        <w:t xml:space="preserve">prowadzonych przez Gminę Niemce, </w:t>
      </w:r>
      <w:r w:rsidRPr="004D312E">
        <w:rPr>
          <w:rFonts w:cs="Calibri"/>
          <w:kern w:val="0"/>
        </w:rPr>
        <w:t xml:space="preserve">pracujących z grupami obejmującymi dzieci 6-letnie i dzieci młodsze, w wysokości: </w:t>
      </w:r>
    </w:p>
    <w:p w14:paraId="1436ABE8" w14:textId="77777777" w:rsidR="00505AE5" w:rsidRDefault="000C6199">
      <w:pPr>
        <w:pStyle w:val="Akapitzlist"/>
        <w:numPr>
          <w:ilvl w:val="0"/>
          <w:numId w:val="2"/>
        </w:numPr>
        <w:suppressAutoHyphens w:val="0"/>
        <w:autoSpaceDE w:val="0"/>
        <w:spacing w:after="0"/>
        <w:contextualSpacing w:val="0"/>
        <w:jc w:val="both"/>
      </w:pPr>
      <w:r>
        <w:rPr>
          <w:rFonts w:cs="Calibri"/>
        </w:rPr>
        <w:t>2</w:t>
      </w:r>
      <w:r>
        <w:rPr>
          <w:rFonts w:cs="Calibri"/>
          <w:kern w:val="0"/>
        </w:rPr>
        <w:t>2 godzin tygodniowo - w grupach,</w:t>
      </w:r>
      <w:r>
        <w:t xml:space="preserve"> w których liczba dzieci 6-letnich w oddziale wynosi 40% i więcej,</w:t>
      </w:r>
      <w:r>
        <w:rPr>
          <w:rFonts w:cs="Calibri"/>
          <w:kern w:val="0"/>
        </w:rPr>
        <w:t xml:space="preserve"> </w:t>
      </w:r>
    </w:p>
    <w:p w14:paraId="106DAB11" w14:textId="77777777" w:rsidR="00505AE5" w:rsidRDefault="000C6199">
      <w:pPr>
        <w:pStyle w:val="Akapitzlist"/>
        <w:numPr>
          <w:ilvl w:val="0"/>
          <w:numId w:val="2"/>
        </w:numPr>
        <w:suppressAutoHyphens w:val="0"/>
        <w:autoSpaceDE w:val="0"/>
        <w:spacing w:after="0"/>
        <w:contextualSpacing w:val="0"/>
        <w:jc w:val="both"/>
      </w:pPr>
      <w:r>
        <w:rPr>
          <w:rFonts w:cs="Calibri"/>
          <w:kern w:val="0"/>
        </w:rPr>
        <w:t>25 godzin tygodniowo - w grupach,</w:t>
      </w:r>
      <w:r>
        <w:t xml:space="preserve"> w których liczba dzieci 5-letnich i młodszych w oddziale wynosi 40% i więcej</w:t>
      </w:r>
      <w:r>
        <w:rPr>
          <w:rFonts w:cs="Calibri"/>
          <w:kern w:val="0"/>
        </w:rPr>
        <w:t>.</w:t>
      </w:r>
    </w:p>
    <w:p w14:paraId="5A485F1A" w14:textId="77777777" w:rsidR="00505AE5" w:rsidRDefault="000C6199">
      <w:pPr>
        <w:pStyle w:val="Default"/>
        <w:spacing w:line="276" w:lineRule="auto"/>
        <w:jc w:val="center"/>
        <w:rPr>
          <w:rFonts w:ascii="Calibri" w:hAnsi="Calibri" w:cs="Calibri"/>
          <w:b/>
          <w:bCs/>
          <w:color w:val="auto"/>
        </w:rPr>
      </w:pPr>
      <w:r>
        <w:rPr>
          <w:rFonts w:ascii="Calibri" w:hAnsi="Calibri" w:cs="Calibri"/>
          <w:b/>
          <w:bCs/>
          <w:color w:val="auto"/>
        </w:rPr>
        <w:t>§ 3.</w:t>
      </w:r>
    </w:p>
    <w:p w14:paraId="25753D91" w14:textId="77777777" w:rsidR="00505AE5" w:rsidRDefault="000C6199">
      <w:pPr>
        <w:pStyle w:val="Default"/>
        <w:spacing w:line="276" w:lineRule="auto"/>
        <w:jc w:val="both"/>
      </w:pPr>
      <w:r>
        <w:rPr>
          <w:rFonts w:ascii="Calibri" w:hAnsi="Calibri" w:cs="Calibri"/>
          <w:color w:val="auto"/>
        </w:rPr>
        <w:t xml:space="preserve">Wykonanie uchwały powierza się Wójtowi Gminy Niemce. </w:t>
      </w:r>
    </w:p>
    <w:p w14:paraId="1DC7A457" w14:textId="77777777" w:rsidR="00505AE5" w:rsidRDefault="000C6199">
      <w:pPr>
        <w:pStyle w:val="Default"/>
        <w:spacing w:line="276" w:lineRule="auto"/>
        <w:jc w:val="center"/>
        <w:rPr>
          <w:rFonts w:ascii="Calibri" w:hAnsi="Calibri" w:cs="Calibri"/>
          <w:b/>
          <w:bCs/>
          <w:color w:val="auto"/>
        </w:rPr>
      </w:pPr>
      <w:r>
        <w:rPr>
          <w:rFonts w:ascii="Calibri" w:hAnsi="Calibri" w:cs="Calibri"/>
          <w:b/>
          <w:bCs/>
          <w:color w:val="auto"/>
        </w:rPr>
        <w:t>§ 4.</w:t>
      </w:r>
    </w:p>
    <w:p w14:paraId="0EF86E15" w14:textId="77777777" w:rsidR="00505AE5" w:rsidRDefault="000C6199">
      <w:pPr>
        <w:pStyle w:val="Default"/>
        <w:spacing w:line="276" w:lineRule="auto"/>
        <w:jc w:val="both"/>
      </w:pPr>
      <w:r>
        <w:rPr>
          <w:rFonts w:ascii="Calibri" w:hAnsi="Calibri" w:cs="Calibri"/>
          <w:color w:val="auto"/>
        </w:rPr>
        <w:t>Traci moc uchwała Nr XLI/379/2022</w:t>
      </w:r>
      <w:r>
        <w:rPr>
          <w:rFonts w:ascii="Calibri" w:hAnsi="Calibri" w:cs="Calibri"/>
          <w:b/>
          <w:bCs/>
          <w:color w:val="auto"/>
        </w:rPr>
        <w:t xml:space="preserve"> </w:t>
      </w:r>
      <w:r>
        <w:rPr>
          <w:rFonts w:ascii="Calibri" w:hAnsi="Calibri" w:cs="Calibri"/>
          <w:color w:val="auto"/>
        </w:rPr>
        <w:t>Rady Gminy Niemce z dnia 21 lipca 2022 r. w sprawie określenia tygodniowego obowiązkowego wymiaru godzin zajęć nauczycieli niewymienionych w art. 42 ust. 3 ustawy z dnia 26 stycznia 1982 r. – Karta Nauczyciela zatrudnionych w szkołach i placówkach prowadzonych przez Gminę Niemce (Dz.U. Woj.Lub.2022 r. Poz. 3821).</w:t>
      </w:r>
    </w:p>
    <w:p w14:paraId="6BA3D240" w14:textId="77777777" w:rsidR="00505AE5" w:rsidRDefault="000C6199">
      <w:pPr>
        <w:spacing w:after="0"/>
        <w:jc w:val="center"/>
      </w:pPr>
      <w:r>
        <w:rPr>
          <w:rFonts w:cs="Calibri"/>
          <w:b/>
          <w:bCs/>
        </w:rPr>
        <w:t>§ 5.</w:t>
      </w:r>
    </w:p>
    <w:p w14:paraId="06C5CB0D" w14:textId="77777777" w:rsidR="00505AE5" w:rsidRDefault="000C6199">
      <w:pPr>
        <w:spacing w:after="0"/>
        <w:jc w:val="both"/>
      </w:pPr>
      <w:r>
        <w:rPr>
          <w:rFonts w:cs="Calibri"/>
        </w:rPr>
        <w:t>Uchwała podlega ogłoszeniu w Dzienniku Urzędowym Województwa Lubelskiego i wchodzi w życie z dniem 1 września 2026 r.</w:t>
      </w:r>
    </w:p>
    <w:p w14:paraId="6D0B777A" w14:textId="77777777" w:rsidR="00505AE5" w:rsidRDefault="00505AE5">
      <w:pPr>
        <w:autoSpaceDE w:val="0"/>
        <w:spacing w:after="0"/>
        <w:jc w:val="both"/>
        <w:rPr>
          <w:rFonts w:cs="Calibri"/>
          <w:b/>
          <w:bCs/>
          <w:color w:val="000000"/>
          <w:kern w:val="0"/>
        </w:rPr>
      </w:pPr>
    </w:p>
    <w:p w14:paraId="6BF387A4" w14:textId="77777777" w:rsidR="00505AE5" w:rsidRDefault="00505AE5">
      <w:pPr>
        <w:autoSpaceDE w:val="0"/>
        <w:spacing w:after="0"/>
        <w:jc w:val="both"/>
        <w:rPr>
          <w:rFonts w:cs="Calibri"/>
          <w:b/>
          <w:bCs/>
          <w:color w:val="000000"/>
          <w:kern w:val="0"/>
        </w:rPr>
      </w:pPr>
    </w:p>
    <w:p w14:paraId="78A79663" w14:textId="72DE2CB0" w:rsidR="00505AE5" w:rsidRDefault="000C6199" w:rsidP="00CE3509">
      <w:pPr>
        <w:pStyle w:val="Bezodstpw"/>
        <w:spacing w:line="276" w:lineRule="auto"/>
        <w:jc w:val="center"/>
        <w:rPr>
          <w:rFonts w:cs="Calibri"/>
          <w:b/>
          <w:bCs/>
        </w:rPr>
      </w:pPr>
      <w:r w:rsidRPr="004D312E">
        <w:rPr>
          <w:rFonts w:cs="Calibri"/>
          <w:b/>
          <w:bCs/>
        </w:rPr>
        <w:lastRenderedPageBreak/>
        <w:t>UZASADNIENIE</w:t>
      </w:r>
    </w:p>
    <w:p w14:paraId="5CA09668" w14:textId="77777777" w:rsidR="004D312E" w:rsidRPr="004D312E" w:rsidRDefault="004D312E" w:rsidP="004D312E">
      <w:pPr>
        <w:pStyle w:val="Bezodstpw"/>
        <w:spacing w:line="276" w:lineRule="auto"/>
        <w:ind w:firstLine="567"/>
        <w:jc w:val="center"/>
        <w:rPr>
          <w:rFonts w:cs="Calibri"/>
          <w:b/>
          <w:bCs/>
        </w:rPr>
      </w:pPr>
    </w:p>
    <w:p w14:paraId="50413EE3" w14:textId="77777777" w:rsidR="00505AE5" w:rsidRPr="004D312E" w:rsidRDefault="000C6199" w:rsidP="004D312E">
      <w:pPr>
        <w:pStyle w:val="Bezodstpw"/>
        <w:spacing w:line="276" w:lineRule="auto"/>
        <w:ind w:firstLine="567"/>
        <w:jc w:val="both"/>
        <w:rPr>
          <w:rFonts w:cs="Calibri"/>
        </w:rPr>
      </w:pPr>
      <w:r w:rsidRPr="004D312E">
        <w:rPr>
          <w:rFonts w:cs="Calibri"/>
        </w:rPr>
        <w:t xml:space="preserve">Podjęcie niniejszej uchwały jest konsekwencją art. 18 ust. 3 ustawy z dnia 25 lipca 2025 r. o zmianie ustawy – Karta Nauczyciela oraz niektórych innych ustaw (Dz. U. z 2025 r. poz. 1160). Zmiana delegacji ustawowej do wydania aktów prawnych, posiadających walor aktu prawa miejscowego, wymusza konieczność podjęcia nowych uchwał w tym zakresie przez organy prowadzące. Zgodnie z powyższym, dotychczasowe akty prawa miejscowego wydane na podstawie art. 42 ust. 7 pkt 3 lit.b i c ustawy – Karta Nauczyciela, zachowują moc obowiązującą w zakresie art. 42 ust. 7 pkt 3 Karty Nauczyciela tej ustawy do dnia 1 września 2026 r. </w:t>
      </w:r>
    </w:p>
    <w:p w14:paraId="72166C18" w14:textId="77777777" w:rsidR="00505AE5" w:rsidRPr="004D312E" w:rsidRDefault="000C6199" w:rsidP="004D312E">
      <w:pPr>
        <w:pStyle w:val="Bezodstpw"/>
        <w:spacing w:line="276" w:lineRule="auto"/>
        <w:ind w:firstLine="567"/>
        <w:jc w:val="both"/>
        <w:rPr>
          <w:rFonts w:cs="Calibri"/>
        </w:rPr>
      </w:pPr>
      <w:r w:rsidRPr="004D312E">
        <w:rPr>
          <w:rFonts w:cs="Calibri"/>
        </w:rPr>
        <w:t xml:space="preserve">Na podstawie przepisu art. 42 ust. 7 pkt 3 lit.b i c ustawy Karta Nauczyciela  organ stanowiący ustala tygodniowy obowiązkowy wymiar godzin zajęć pedagogów, pedagogów specjalnych, psychologów, logopedów, terapeutów pedagogicznych, doradców zawodowych, z wyjątkiem nauczycieli zatrudnionych w poradniach psychologiczno-pedagogicznych, z tym że wymiar ten nie może przekraczać 22 godzin oraz nauczycieli przedszkoli i innych placówek przedszkolnych pracujących z grupami obejmującymi dzieci 6-letnie i dzieci młodsze, z tym że wymiar ten nie może przekraczać 25 godzin. </w:t>
      </w:r>
    </w:p>
    <w:p w14:paraId="2435A124" w14:textId="239D01D4" w:rsidR="004D312E" w:rsidRPr="004D312E" w:rsidRDefault="000C6199" w:rsidP="004D312E">
      <w:pPr>
        <w:pStyle w:val="Bezodstpw"/>
        <w:spacing w:line="276" w:lineRule="auto"/>
        <w:ind w:firstLine="567"/>
        <w:jc w:val="both"/>
        <w:rPr>
          <w:rFonts w:cs="Calibri"/>
        </w:rPr>
      </w:pPr>
      <w:r w:rsidRPr="004D312E">
        <w:rPr>
          <w:rFonts w:cs="Calibri"/>
        </w:rPr>
        <w:t>W niniejszym projekcie zmieniono tytuł uchwały doprecyzowując jakiej grupy nauczycieli dotyczy - w oparciu o zawarte w uchwale podstawy prawne. Ponadto niniejszy projekt uchwały nie zawiera żadnych zmian w zakresie określonego w obowiązującej uchwale tygodniowego obowiązkowego wymiaru godzin zajęć pedagogów, pedagogów specjalnych, psychologów, logopedów, terapeutów pedagogicznych, doradców zawodowych oraz</w:t>
      </w:r>
      <w:r w:rsidRPr="004D312E">
        <w:rPr>
          <w:rFonts w:cs="Calibri"/>
          <w:color w:val="EE0000"/>
        </w:rPr>
        <w:t xml:space="preserve"> </w:t>
      </w:r>
      <w:r w:rsidRPr="004D312E">
        <w:rPr>
          <w:rFonts w:cs="Calibri"/>
        </w:rPr>
        <w:t>nauczycieli przedszkoli i innych placówek przedszkolnych pracujących z grupami obejmującymi dzieci 6-letnie i dzieci młodsze. Zmianie uległa jedynie forma zapisu.</w:t>
      </w:r>
    </w:p>
    <w:p w14:paraId="3873B014" w14:textId="2130D22E" w:rsidR="004D312E" w:rsidRPr="00802153" w:rsidRDefault="004D312E" w:rsidP="004D312E">
      <w:pPr>
        <w:pStyle w:val="Bezodstpw"/>
        <w:spacing w:line="276" w:lineRule="auto"/>
        <w:ind w:firstLine="567"/>
        <w:jc w:val="both"/>
        <w:rPr>
          <w:rFonts w:cs="Calibri"/>
        </w:rPr>
      </w:pPr>
      <w:r w:rsidRPr="008165E0">
        <w:rPr>
          <w:rFonts w:cs="Calibri"/>
          <w:color w:val="0070C0"/>
        </w:rPr>
        <w:t xml:space="preserve">W trybie art. 19 ust. 2 ustawy z dnia 23 maja 1991 roku o związkach zawodowych (t.j. Dz.U. z 2026 r. poz. 549) niniejszy projekt uchwały został pozytywnie zaopiniowany przez </w:t>
      </w:r>
      <w:r w:rsidR="008165E0" w:rsidRPr="00802153">
        <w:rPr>
          <w:rFonts w:cs="Calibri"/>
          <w:b/>
          <w:bCs/>
          <w:color w:val="0070C0"/>
        </w:rPr>
        <w:t xml:space="preserve">Związek nauczycielstwa Polskiego – zarząd oddziału w Niemcach - opinia z dn. 20.08.2026 r. </w:t>
      </w:r>
      <w:r w:rsidR="008165E0" w:rsidRPr="008165E0">
        <w:rPr>
          <w:rFonts w:cs="Calibri"/>
          <w:color w:val="0070C0"/>
        </w:rPr>
        <w:t xml:space="preserve">oraz  </w:t>
      </w:r>
      <w:r w:rsidR="008165E0" w:rsidRPr="00802153">
        <w:rPr>
          <w:rFonts w:cs="Calibri"/>
          <w:b/>
          <w:bCs/>
          <w:color w:val="0070C0"/>
        </w:rPr>
        <w:t>Organizacj</w:t>
      </w:r>
      <w:r w:rsidR="00802153">
        <w:rPr>
          <w:rFonts w:cs="Calibri"/>
          <w:b/>
          <w:bCs/>
          <w:color w:val="0070C0"/>
        </w:rPr>
        <w:t>ę</w:t>
      </w:r>
      <w:r w:rsidR="008165E0" w:rsidRPr="00802153">
        <w:rPr>
          <w:rFonts w:cs="Calibri"/>
          <w:b/>
          <w:bCs/>
          <w:color w:val="0070C0"/>
        </w:rPr>
        <w:t xml:space="preserve"> Międzyzakładową NSZZ „Solidarność” Pracowników Oświaty i Wychowania Gminy Niemce - opinia z dn. 12.08.2026 r.</w:t>
      </w:r>
      <w:r w:rsidR="008165E0" w:rsidRPr="008165E0">
        <w:rPr>
          <w:rFonts w:cs="Calibri"/>
          <w:color w:val="0070C0"/>
        </w:rPr>
        <w:t xml:space="preserve"> Ponadto </w:t>
      </w:r>
      <w:r w:rsidR="008165E0" w:rsidRPr="00802153">
        <w:rPr>
          <w:rFonts w:cs="Calibri"/>
          <w:b/>
          <w:bCs/>
          <w:color w:val="0070C0"/>
        </w:rPr>
        <w:t>Forum Związków Zawodowych – Zarząd Województwa Lubelskiego w dniu 20.08.2026 r.</w:t>
      </w:r>
      <w:r w:rsidR="008165E0" w:rsidRPr="008165E0">
        <w:rPr>
          <w:rFonts w:cs="Calibri"/>
          <w:color w:val="0070C0"/>
        </w:rPr>
        <w:t xml:space="preserve"> wyraził negatywną opinię dla projektu uchwały</w:t>
      </w:r>
      <w:r w:rsidR="008165E0" w:rsidRPr="008165E0">
        <w:rPr>
          <w:rStyle w:val="Nagwek1Znak"/>
          <w:rFonts w:ascii="Calibri" w:eastAsia="Calibri" w:hAnsi="Calibri" w:cs="Calibri"/>
          <w:color w:val="0070C0"/>
        </w:rPr>
        <w:t xml:space="preserve"> </w:t>
      </w:r>
      <w:r w:rsidR="008165E0" w:rsidRPr="008165E0">
        <w:rPr>
          <w:rStyle w:val="inqyif"/>
          <w:rFonts w:cs="Calibri"/>
          <w:color w:val="0070C0"/>
        </w:rPr>
        <w:t>postulując ustalenie pensum na poziomie 20 godzin tygodniowo</w:t>
      </w:r>
      <w:r w:rsidR="008165E0">
        <w:rPr>
          <w:rStyle w:val="inqyif"/>
          <w:rFonts w:cs="Calibri"/>
          <w:color w:val="0070C0"/>
        </w:rPr>
        <w:t xml:space="preserve"> dla specjalistów</w:t>
      </w:r>
      <w:r w:rsidR="008165E0" w:rsidRPr="008165E0">
        <w:rPr>
          <w:rStyle w:val="inqyif"/>
          <w:rFonts w:cs="Calibri"/>
          <w:color w:val="0070C0"/>
        </w:rPr>
        <w:t>, wskazując na wysokie obciążenie psychiczne i specyfikę pracy specjalistów</w:t>
      </w:r>
      <w:r w:rsidR="008165E0">
        <w:rPr>
          <w:rStyle w:val="inqyif"/>
          <w:rFonts w:cs="Calibri"/>
          <w:color w:val="0070C0"/>
        </w:rPr>
        <w:t xml:space="preserve"> oraz ustalenie</w:t>
      </w:r>
      <w:r w:rsidR="00802153">
        <w:rPr>
          <w:rStyle w:val="inqyif"/>
          <w:rFonts w:cs="Calibri"/>
          <w:color w:val="0070C0"/>
        </w:rPr>
        <w:t xml:space="preserve"> jednolitego pensum 22 godz. tygodniowo dla </w:t>
      </w:r>
      <w:r w:rsidR="00802153" w:rsidRPr="00802153">
        <w:rPr>
          <w:rFonts w:cs="Calibri"/>
          <w:color w:val="0070C0"/>
        </w:rPr>
        <w:t>nauczycieli przedszkoli i innych placówek przedszkolnych pracujących z grupami obejmującymi dzieci 6-letnie i dzieci młodsze,</w:t>
      </w:r>
      <w:r w:rsidR="00802153" w:rsidRPr="00802153">
        <w:rPr>
          <w:rStyle w:val="inqyif"/>
          <w:rFonts w:cs="Calibri"/>
          <w:color w:val="0070C0"/>
        </w:rPr>
        <w:t xml:space="preserve"> nie zapisując różnic w zależności od ilości dzieci w wieku 6 lat i młodszych.</w:t>
      </w:r>
      <w:r w:rsidR="008165E0" w:rsidRPr="00802153">
        <w:rPr>
          <w:color w:val="0070C0"/>
        </w:rPr>
        <w:t xml:space="preserve">  </w:t>
      </w:r>
    </w:p>
    <w:p w14:paraId="6D7C090B" w14:textId="65BC0FCF" w:rsidR="007B1A7F" w:rsidRPr="008165E0" w:rsidRDefault="007B1A7F" w:rsidP="008165E0">
      <w:pPr>
        <w:suppressAutoHyphens w:val="0"/>
        <w:spacing w:after="0"/>
        <w:jc w:val="both"/>
        <w:rPr>
          <w:rFonts w:ascii="Arial" w:eastAsia="Times New Roman" w:hAnsi="Arial" w:cs="Arial"/>
          <w:color w:val="0070C0"/>
          <w:kern w:val="0"/>
          <w:lang w:eastAsia="pl-PL"/>
        </w:rPr>
      </w:pPr>
      <w:r w:rsidRPr="008165E0">
        <w:rPr>
          <w:rFonts w:eastAsia="Times New Roman" w:cs="Calibri"/>
          <w:color w:val="0070C0"/>
          <w:kern w:val="0"/>
          <w:lang w:eastAsia="pl-PL"/>
        </w:rPr>
        <w:t>Zgodnie z art. 19 ustawy o związkach zawodowych oraz przepisami Karty Nauczyciela, projekt uchwały pod</w:t>
      </w:r>
      <w:r w:rsidR="008165E0" w:rsidRPr="008165E0">
        <w:rPr>
          <w:rFonts w:eastAsia="Times New Roman" w:cs="Calibri"/>
          <w:color w:val="0070C0"/>
          <w:kern w:val="0"/>
          <w:lang w:eastAsia="pl-PL"/>
        </w:rPr>
        <w:t>e</w:t>
      </w:r>
      <w:r w:rsidRPr="008165E0">
        <w:rPr>
          <w:rFonts w:eastAsia="Times New Roman" w:cs="Calibri"/>
          <w:color w:val="0070C0"/>
          <w:kern w:val="0"/>
          <w:lang w:eastAsia="pl-PL"/>
        </w:rPr>
        <w:t xml:space="preserve">jmowanej na podstawie art. 42 ust. 7 musi zostać przekazany do zaopiniowania przez reprezentatywne związki zawodowe. Opinia ta </w:t>
      </w:r>
      <w:r w:rsidRPr="00802153">
        <w:rPr>
          <w:rFonts w:eastAsia="Times New Roman" w:cs="Calibri"/>
          <w:color w:val="0070C0"/>
          <w:kern w:val="0"/>
          <w:lang w:eastAsia="pl-PL"/>
        </w:rPr>
        <w:t>nie jest jednak wiążąca</w:t>
      </w:r>
      <w:r w:rsidRPr="008165E0">
        <w:rPr>
          <w:rFonts w:eastAsia="Times New Roman" w:cs="Calibri"/>
          <w:color w:val="0070C0"/>
          <w:kern w:val="0"/>
          <w:lang w:eastAsia="pl-PL"/>
        </w:rPr>
        <w:t xml:space="preserve"> dla organu prowadzącego</w:t>
      </w:r>
      <w:r w:rsidR="008165E0" w:rsidRPr="008165E0">
        <w:rPr>
          <w:rFonts w:eastAsia="Times New Roman" w:cs="Calibri"/>
          <w:color w:val="0070C0"/>
          <w:kern w:val="0"/>
          <w:lang w:eastAsia="pl-PL"/>
        </w:rPr>
        <w:t xml:space="preserve">. </w:t>
      </w:r>
      <w:r w:rsidRPr="008165E0">
        <w:rPr>
          <w:rFonts w:eastAsia="Times New Roman" w:cs="Calibri"/>
          <w:color w:val="0070C0"/>
          <w:kern w:val="0"/>
          <w:lang w:eastAsia="pl-PL"/>
        </w:rPr>
        <w:t xml:space="preserve"> Organ samorządu terytorialnego może przyjąć uchwałę w zaplanowanym kształcie pomimo negatywnego stanowiska związków.</w:t>
      </w:r>
      <w:r w:rsidR="008165E0" w:rsidRPr="008165E0">
        <w:rPr>
          <w:rFonts w:eastAsia="Times New Roman" w:cs="Calibri"/>
          <w:color w:val="0070C0"/>
          <w:kern w:val="0"/>
          <w:lang w:eastAsia="pl-PL"/>
        </w:rPr>
        <w:t xml:space="preserve"> </w:t>
      </w:r>
      <w:r w:rsidRPr="008165E0">
        <w:rPr>
          <w:rFonts w:eastAsia="Times New Roman" w:cs="Calibri"/>
          <w:color w:val="0070C0"/>
          <w:kern w:val="0"/>
          <w:lang w:eastAsia="pl-PL"/>
        </w:rPr>
        <w:t xml:space="preserve">Brak wystąpienia o opinię do właściwych </w:t>
      </w:r>
      <w:r w:rsidRPr="008165E0">
        <w:rPr>
          <w:rFonts w:eastAsia="Times New Roman" w:cs="Calibri"/>
          <w:color w:val="0070C0"/>
          <w:kern w:val="0"/>
          <w:lang w:eastAsia="pl-PL"/>
        </w:rPr>
        <w:lastRenderedPageBreak/>
        <w:t>struktur związkowych skutkuje nieważnością uchwały w trybie nadzorczym przez wojewodę lub przed sądem administracyjnym (WSA).</w:t>
      </w:r>
      <w:r w:rsidRPr="008165E0">
        <w:rPr>
          <w:rFonts w:ascii="Arial" w:eastAsia="Times New Roman" w:hAnsi="Arial" w:cs="Arial"/>
          <w:color w:val="0070C0"/>
          <w:kern w:val="0"/>
          <w:lang w:eastAsia="pl-PL"/>
        </w:rPr>
        <w:t xml:space="preserve"> </w:t>
      </w:r>
      <w:r w:rsidR="008165E0" w:rsidRPr="008165E0">
        <w:rPr>
          <w:rFonts w:ascii="Arial" w:eastAsia="Times New Roman" w:hAnsi="Arial" w:cs="Arial"/>
          <w:color w:val="0070C0"/>
          <w:kern w:val="0"/>
          <w:lang w:eastAsia="pl-PL"/>
        </w:rPr>
        <w:t xml:space="preserve"> </w:t>
      </w:r>
    </w:p>
    <w:p w14:paraId="4936CC7A" w14:textId="77777777" w:rsidR="004D312E" w:rsidRPr="004D312E" w:rsidRDefault="004D312E" w:rsidP="004D312E">
      <w:pPr>
        <w:pStyle w:val="Bezodstpw"/>
        <w:spacing w:line="276" w:lineRule="auto"/>
        <w:ind w:firstLine="567"/>
        <w:jc w:val="both"/>
        <w:rPr>
          <w:rFonts w:cs="Calibri"/>
        </w:rPr>
      </w:pPr>
      <w:r w:rsidRPr="004D312E">
        <w:rPr>
          <w:rFonts w:eastAsia="Times New Roman" w:cs="Calibri"/>
          <w:u w:color="000000"/>
          <w:lang w:eastAsia="pl-PL" w:bidi="pl-PL"/>
        </w:rPr>
        <w:t>Proponuje się, aby niniejsza uchwała weszła w życie z mocą wsteczną</w:t>
      </w:r>
      <w:r w:rsidRPr="004D312E">
        <w:rPr>
          <w:rFonts w:cs="Calibri"/>
        </w:rPr>
        <w:t xml:space="preserve"> od dnia 1 września 2026 r., tj. w terminie krótszym niż 14 dni od daty jej ogłoszenia. Powyższe działanie będzie zgodne z </w:t>
      </w:r>
      <w:r w:rsidRPr="004D312E">
        <w:rPr>
          <w:rFonts w:eastAsia="Aptos" w:cs="Calibri"/>
        </w:rPr>
        <w:t>zasadą</w:t>
      </w:r>
      <w:r w:rsidRPr="004D312E">
        <w:rPr>
          <w:rFonts w:cs="Calibri"/>
        </w:rPr>
        <w:t xml:space="preserve"> </w:t>
      </w:r>
      <w:r w:rsidRPr="004D312E">
        <w:rPr>
          <w:rFonts w:eastAsia="Times New Roman" w:cs="Calibri"/>
          <w:lang w:eastAsia="pl-PL"/>
        </w:rPr>
        <w:t xml:space="preserve">demokratycznego państwa polskiego, </w:t>
      </w:r>
      <w:r w:rsidRPr="004D312E">
        <w:rPr>
          <w:rFonts w:cs="Calibri"/>
        </w:rPr>
        <w:t>gdyż zasady wprowadzone niniejszą uchwałą są analogiczne jak zasady określone w obowiązującej uchwale, uchylanej na mocy postanowień § 4, a więc nie spowodują pogorszenia sytuacji prawnej jej adresatów.</w:t>
      </w:r>
    </w:p>
    <w:p w14:paraId="564F3CA9" w14:textId="77777777" w:rsidR="004D312E" w:rsidRPr="004D312E" w:rsidRDefault="004D312E" w:rsidP="004D312E">
      <w:pPr>
        <w:pStyle w:val="Bezodstpw"/>
        <w:spacing w:line="276" w:lineRule="auto"/>
        <w:ind w:firstLine="567"/>
        <w:jc w:val="both"/>
        <w:rPr>
          <w:rFonts w:eastAsia="Aptos" w:cs="Calibri"/>
        </w:rPr>
      </w:pPr>
      <w:r w:rsidRPr="004D312E">
        <w:rPr>
          <w:rFonts w:eastAsia="Aptos" w:cs="Calibri"/>
        </w:rPr>
        <w:t xml:space="preserve">Zgodnie z art. 88 ust. 1 Konstytucji, warunkiem wejścia w życie aktów prawnych powszechnie obowiązujących jest ich ogłoszenie, stąd też warunkiem wejścia w życie przepisu jest nie tylko jego przyjęcie przez posiadający stosowną kompetencję organ, w przewidzianym prawem trybie ale także prawidłowe ogłoszenie tego aktu prawnego. </w:t>
      </w:r>
    </w:p>
    <w:p w14:paraId="38D6FF27" w14:textId="77777777" w:rsidR="004D312E" w:rsidRPr="004D312E" w:rsidRDefault="004D312E" w:rsidP="004D312E">
      <w:pPr>
        <w:pStyle w:val="Bezodstpw"/>
        <w:spacing w:line="276" w:lineRule="auto"/>
        <w:ind w:firstLine="567"/>
        <w:jc w:val="both"/>
        <w:rPr>
          <w:rFonts w:eastAsia="Aptos" w:cs="Calibri"/>
        </w:rPr>
      </w:pPr>
      <w:r w:rsidRPr="004D312E">
        <w:rPr>
          <w:rFonts w:eastAsia="Aptos" w:cs="Calibri"/>
        </w:rPr>
        <w:t xml:space="preserve">Kluczowe zapisy w tym przedmiocie znajdują się w art. 4 ust. 1 i art. 5 ustawy z 20 lipca 2000 r. o ogłaszaniu aktów normatywnych i niektórych innych aktów prawnych (Dz.U. z 2019 r. poz. 1461 ze zm.). Artykuł 4 ust. 1 wskazanej ustawy wyraża generalną zasadę, że akty normatywne (m.in. akty prawa miejscowego organów stanowiących JST) zawierające przepisy powszechnie obowiązujące, ogłaszane w dziennikach urzędowych, wchodzą w życie po upływie 14 dni od dnia ich ogłoszenia, chyba że dany akt normatywny określi termin dłuższy. Natomiast w art. 5 wskazanej ustawy ustawodawca zawarł niejako wyłom od ww. zasady, wskazując, że powyższe nie wyłącza możliwości nadania aktowi normatywnemu wstecznej mocy obowiązującej, jeżeli zasady demokratycznego państwa prawnego nie stoją temu na przeszkodzie. Z wzajemnego stosunku art. 4 ust. 1 i art. 5 ustawy wynika, że zakaz z art. 4 ust. 1 nie ma charakteru bezwzględnego i w sytuacjach nadzwyczajnych można od niego odstąpić, stosując przy nadawaniu wstecznej mocy wspomniany art. 5. Jednak warunkiem koniecznym dla zastosowania tego uregulowania jest to, aby taka operacja nie sprzeciwiała się zasadom demokratycznego państwa prawnego. Przy tym wprowadzany akt ma polepszać sytuację prawną niektórych adresatów danej normy i nie pogarszać sytuacji prawnej pozostałych adresatów (wyrok Trybunału Konstytucyjnego z 25 września 2000 r. (sygn. akt K 26/99, OTK 2000, nr 6, poz. 186). </w:t>
      </w:r>
    </w:p>
    <w:p w14:paraId="2B075A41" w14:textId="77777777" w:rsidR="004D312E" w:rsidRPr="004D312E" w:rsidRDefault="004D312E" w:rsidP="004D312E">
      <w:pPr>
        <w:pStyle w:val="Bezodstpw"/>
        <w:spacing w:line="276" w:lineRule="auto"/>
        <w:ind w:firstLine="567"/>
        <w:jc w:val="both"/>
        <w:rPr>
          <w:rFonts w:eastAsia="Aptos" w:cs="Calibri"/>
        </w:rPr>
      </w:pPr>
      <w:r w:rsidRPr="004D312E">
        <w:rPr>
          <w:rFonts w:eastAsia="Aptos" w:cs="Calibri"/>
        </w:rPr>
        <w:t xml:space="preserve">W przypadku aktów prawnych zawierających przepisy powszechnie obowiązujące, ustawodawca co do zasady przewiduje konieczność zachowania 14-dniowego </w:t>
      </w:r>
      <w:r w:rsidRPr="004D312E">
        <w:rPr>
          <w:rFonts w:eastAsia="Aptos" w:cs="Calibri"/>
          <w:i/>
          <w:iCs/>
        </w:rPr>
        <w:t>vacatio legis</w:t>
      </w:r>
      <w:r w:rsidRPr="004D312E">
        <w:rPr>
          <w:rFonts w:eastAsia="Aptos" w:cs="Calibri"/>
        </w:rPr>
        <w:t xml:space="preserve">. Każde odstępstwo od tej zasady, polegające bądź na skróceniu okresu </w:t>
      </w:r>
      <w:r w:rsidRPr="004D312E">
        <w:rPr>
          <w:rFonts w:eastAsia="Aptos" w:cs="Calibri"/>
          <w:i/>
          <w:iCs/>
        </w:rPr>
        <w:t xml:space="preserve">vacatio legis </w:t>
      </w:r>
      <w:r w:rsidRPr="004D312E">
        <w:rPr>
          <w:rFonts w:eastAsia="Aptos" w:cs="Calibri"/>
        </w:rPr>
        <w:t xml:space="preserve">na podstawie art. 4 ust. 2 ustawy, bądź nawet nadaniu aktowi prawnemu wstecznej mocy obowiązującej na podstawie art. 5 ustawy, rodzi po stronie gminy obowiązek wykazania, że nastąpiły szczególne okoliczności, uzasadniające odstępstwo od zasady 14-dniowego </w:t>
      </w:r>
      <w:r w:rsidRPr="004D312E">
        <w:rPr>
          <w:rFonts w:eastAsia="Aptos" w:cs="Calibri"/>
          <w:i/>
          <w:iCs/>
        </w:rPr>
        <w:t>vacatio legis</w:t>
      </w:r>
      <w:r w:rsidRPr="004D312E">
        <w:rPr>
          <w:rFonts w:eastAsia="Aptos" w:cs="Calibri"/>
        </w:rPr>
        <w:t xml:space="preserve">. Nakaz zachowania odpowiedniej vacatio legis, zgodnie z ustalonym orzecznictwem Trybunału Konstytucyjnego stanowi jedną z norm składających się na treść zasady demokratycznego państwa prawnego (art. 2 Konstytucji RP) i wynika wprost z zasady zaufania do państwa (art. 2 i art. 7 Konstytucji RP). Trybunał kilkakrotnie wypowiadał się, że zakaz lex retro non agit dotyczy zwłaszcza przepisów normujących prawa i obowiązki obywateli jeżeli prowadzi to do pogorszenia ich sytuacji w stosunku do stanu poprzedniego. Odstąpienie od tej zasady dopuszczalne jest jedynie wyjątkowo i tylko z usprawiedliwionych względów gdy jest to </w:t>
      </w:r>
      <w:r w:rsidRPr="004D312E">
        <w:rPr>
          <w:rFonts w:eastAsia="Aptos" w:cs="Calibri"/>
        </w:rPr>
        <w:lastRenderedPageBreak/>
        <w:t>konieczne dla realizacji wartości konstytucyjnej ocenianej jako ważniejsza od wartości chronionej zakazem retroakcji (orzeczenie z 30 listopada 1993r. w spr. K 18/92, wyrok z 27 lutego 2002r. w spr. K 47/01, orzeczenie z 19 października 1993r. w spr. K 14/92, wyrok z 31 stycznia 2001r. w spr. P 4/99).</w:t>
      </w:r>
    </w:p>
    <w:p w14:paraId="541E3658" w14:textId="27FB1362" w:rsidR="004D312E" w:rsidRPr="004D312E" w:rsidRDefault="004D312E" w:rsidP="004D312E">
      <w:pPr>
        <w:pStyle w:val="Bezodstpw"/>
        <w:spacing w:line="276" w:lineRule="auto"/>
        <w:ind w:firstLine="567"/>
        <w:jc w:val="both"/>
        <w:rPr>
          <w:rFonts w:eastAsia="Times New Roman" w:cs="Calibri"/>
          <w:lang w:eastAsia="pl-PL"/>
        </w:rPr>
      </w:pPr>
      <w:r w:rsidRPr="004D312E">
        <w:rPr>
          <w:rFonts w:eastAsia="Aptos" w:cs="Calibri"/>
        </w:rPr>
        <w:t>W niniejszym przypadku nadanie aktowi normatywnemu wstecznej mocy obowiązującej</w:t>
      </w:r>
      <w:r w:rsidRPr="004D312E">
        <w:rPr>
          <w:rFonts w:eastAsia="Times New Roman" w:cs="Calibri"/>
          <w:lang w:eastAsia="pl-PL"/>
        </w:rPr>
        <w:t xml:space="preserve"> nie narusza zasad demokratycznego państwa polskiego, gdyż </w:t>
      </w:r>
      <w:r w:rsidRPr="004D312E">
        <w:rPr>
          <w:rFonts w:cs="Calibri"/>
        </w:rPr>
        <w:t xml:space="preserve">zasady wprowadzone niniejszą uchwałą są analogiczne jak zasady określone w obowiązującej uchwale, uchylanej na mocy postanowień § 4, a więc nie spowodują pogorszenia sytuacji prawnej jej adresatów. Dodatkowo należy wskazać, iż konieczność podjęcia niniejszej uchwały wynika z dyspozycji z art. 18 </w:t>
      </w:r>
      <w:r w:rsidR="00F21AB4">
        <w:rPr>
          <w:rFonts w:cs="Calibri"/>
        </w:rPr>
        <w:t xml:space="preserve">ust. 3 </w:t>
      </w:r>
      <w:r w:rsidRPr="004D312E">
        <w:rPr>
          <w:rFonts w:cs="Calibri"/>
        </w:rPr>
        <w:t xml:space="preserve">ustawy z dnia 25 lipca 2025 r. o zmianie ustawy – Karta Nauczyciela oraz niektórych innych ustaw (Dz. U. z 2025 r. poz. 1160). </w:t>
      </w:r>
    </w:p>
    <w:p w14:paraId="559BE689" w14:textId="595BE334" w:rsidR="00505AE5" w:rsidRPr="004D312E" w:rsidRDefault="004D312E" w:rsidP="004D312E">
      <w:pPr>
        <w:pStyle w:val="Bezodstpw"/>
        <w:spacing w:line="276" w:lineRule="auto"/>
        <w:ind w:firstLine="567"/>
        <w:jc w:val="both"/>
        <w:rPr>
          <w:rFonts w:cs="Calibri"/>
        </w:rPr>
      </w:pPr>
      <w:r w:rsidRPr="004D312E">
        <w:rPr>
          <w:rFonts w:cs="Calibri"/>
        </w:rPr>
        <w:t>W związku z powyższym podjęcie niniejszej uchwały jest uzasadnione.</w:t>
      </w:r>
    </w:p>
    <w:sectPr w:rsidR="00505AE5" w:rsidRPr="004D312E">
      <w:pgSz w:w="11906" w:h="16838"/>
      <w:pgMar w:top="1417" w:right="1417" w:bottom="1417" w:left="1417"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F34CE"/>
    <w:multiLevelType w:val="multilevel"/>
    <w:tmpl w:val="623645B4"/>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51317B31"/>
    <w:multiLevelType w:val="multilevel"/>
    <w:tmpl w:val="BC9EAE32"/>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04196749">
    <w:abstractNumId w:val="0"/>
  </w:num>
  <w:num w:numId="2" w16cid:durableId="10292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E5"/>
    <w:rsid w:val="000C6199"/>
    <w:rsid w:val="003E21B6"/>
    <w:rsid w:val="004D312E"/>
    <w:rsid w:val="00505AE5"/>
    <w:rsid w:val="0054234B"/>
    <w:rsid w:val="00593471"/>
    <w:rsid w:val="006D1265"/>
    <w:rsid w:val="007B1A7F"/>
    <w:rsid w:val="00802153"/>
    <w:rsid w:val="008165E0"/>
    <w:rsid w:val="009F366D"/>
    <w:rsid w:val="00B145D8"/>
    <w:rsid w:val="00C00755"/>
    <w:rsid w:val="00CE3509"/>
    <w:rsid w:val="00DF5B11"/>
    <w:rsid w:val="00E2774B"/>
    <w:rsid w:val="00EF6C24"/>
    <w:rsid w:val="00F21AB4"/>
    <w:rsid w:val="00F74824"/>
    <w:rsid w:val="00F94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84C3"/>
  <w15:docId w15:val="{DBC659D4-2A26-4E20-A3E9-4D9631EA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sz w:val="24"/>
        <w:szCs w:val="24"/>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pPr>
  </w:style>
  <w:style w:type="paragraph" w:styleId="Nagwek1">
    <w:name w:val="heading 1"/>
    <w:basedOn w:val="Normalny"/>
    <w:next w:val="Normalny"/>
    <w:uiPriority w:val="9"/>
    <w:qFormat/>
    <w:pPr>
      <w:keepNext/>
      <w:keepLines/>
      <w:numPr>
        <w:numId w:val="1"/>
      </w:numPr>
      <w:spacing w:before="360" w:after="80"/>
      <w:outlineLvl w:val="0"/>
    </w:pPr>
    <w:rPr>
      <w:rFonts w:ascii="Calibri Light" w:eastAsia="Times New Roman" w:hAnsi="Calibri Light"/>
      <w:color w:val="2F5496"/>
      <w:sz w:val="40"/>
      <w:szCs w:val="40"/>
    </w:rPr>
  </w:style>
  <w:style w:type="paragraph" w:styleId="Nagwek2">
    <w:name w:val="heading 2"/>
    <w:basedOn w:val="Normalny"/>
    <w:next w:val="Normalny"/>
    <w:uiPriority w:val="9"/>
    <w:semiHidden/>
    <w:unhideWhenUsed/>
    <w:qFormat/>
    <w:pPr>
      <w:keepNext/>
      <w:keepLines/>
      <w:numPr>
        <w:ilvl w:val="1"/>
        <w:numId w:val="1"/>
      </w:numPr>
      <w:spacing w:before="160" w:after="80"/>
      <w:outlineLvl w:val="1"/>
    </w:pPr>
    <w:rPr>
      <w:rFonts w:ascii="Calibri Light" w:eastAsia="Times New Roman" w:hAnsi="Calibri Light"/>
      <w:color w:val="2F5496"/>
      <w:sz w:val="32"/>
      <w:szCs w:val="32"/>
    </w:rPr>
  </w:style>
  <w:style w:type="paragraph" w:styleId="Nagwek3">
    <w:name w:val="heading 3"/>
    <w:basedOn w:val="Normalny"/>
    <w:next w:val="Normalny"/>
    <w:uiPriority w:val="9"/>
    <w:semiHidden/>
    <w:unhideWhenUsed/>
    <w:qFormat/>
    <w:pPr>
      <w:keepNext/>
      <w:keepLines/>
      <w:numPr>
        <w:ilvl w:val="2"/>
        <w:numId w:val="1"/>
      </w:numPr>
      <w:spacing w:before="160" w:after="80"/>
      <w:outlineLvl w:val="2"/>
    </w:pPr>
    <w:rPr>
      <w:rFonts w:eastAsia="Times New Roman"/>
      <w:color w:val="2F5496"/>
      <w:sz w:val="28"/>
      <w:szCs w:val="28"/>
    </w:rPr>
  </w:style>
  <w:style w:type="paragraph" w:styleId="Nagwek4">
    <w:name w:val="heading 4"/>
    <w:basedOn w:val="Normalny"/>
    <w:next w:val="Normalny"/>
    <w:uiPriority w:val="9"/>
    <w:semiHidden/>
    <w:unhideWhenUsed/>
    <w:qFormat/>
    <w:pPr>
      <w:keepNext/>
      <w:keepLines/>
      <w:numPr>
        <w:ilvl w:val="3"/>
        <w:numId w:val="1"/>
      </w:numPr>
      <w:spacing w:before="80" w:after="40"/>
      <w:outlineLvl w:val="3"/>
    </w:pPr>
    <w:rPr>
      <w:rFonts w:eastAsia="Times New Roman"/>
      <w:i/>
      <w:iCs/>
      <w:color w:val="2F5496"/>
    </w:rPr>
  </w:style>
  <w:style w:type="paragraph" w:styleId="Nagwek5">
    <w:name w:val="heading 5"/>
    <w:basedOn w:val="Normalny"/>
    <w:next w:val="Normalny"/>
    <w:uiPriority w:val="9"/>
    <w:semiHidden/>
    <w:unhideWhenUsed/>
    <w:qFormat/>
    <w:pPr>
      <w:keepNext/>
      <w:keepLines/>
      <w:numPr>
        <w:ilvl w:val="4"/>
        <w:numId w:val="1"/>
      </w:numPr>
      <w:spacing w:before="80" w:after="40"/>
      <w:outlineLvl w:val="4"/>
    </w:pPr>
    <w:rPr>
      <w:rFonts w:eastAsia="Times New Roman"/>
      <w:color w:val="2F5496"/>
    </w:rPr>
  </w:style>
  <w:style w:type="paragraph" w:styleId="Nagwek6">
    <w:name w:val="heading 6"/>
    <w:basedOn w:val="Normalny"/>
    <w:next w:val="Normalny"/>
    <w:uiPriority w:val="9"/>
    <w:semiHidden/>
    <w:unhideWhenUsed/>
    <w:qFormat/>
    <w:pPr>
      <w:keepNext/>
      <w:keepLines/>
      <w:numPr>
        <w:ilvl w:val="5"/>
        <w:numId w:val="1"/>
      </w:numPr>
      <w:spacing w:before="40" w:after="0"/>
      <w:outlineLvl w:val="5"/>
    </w:pPr>
    <w:rPr>
      <w:rFonts w:eastAsia="Times New Roman"/>
      <w:i/>
      <w:iCs/>
      <w:color w:val="595959"/>
    </w:rPr>
  </w:style>
  <w:style w:type="paragraph" w:styleId="Nagwek7">
    <w:name w:val="heading 7"/>
    <w:basedOn w:val="Normalny"/>
    <w:next w:val="Normalny"/>
    <w:qFormat/>
    <w:pPr>
      <w:keepNext/>
      <w:keepLines/>
      <w:numPr>
        <w:ilvl w:val="6"/>
        <w:numId w:val="1"/>
      </w:numPr>
      <w:spacing w:before="40" w:after="0"/>
      <w:outlineLvl w:val="6"/>
    </w:pPr>
    <w:rPr>
      <w:rFonts w:eastAsia="Times New Roman"/>
      <w:color w:val="595959"/>
    </w:rPr>
  </w:style>
  <w:style w:type="paragraph" w:styleId="Nagwek8">
    <w:name w:val="heading 8"/>
    <w:basedOn w:val="Normalny"/>
    <w:next w:val="Normalny"/>
    <w:qFormat/>
    <w:pPr>
      <w:keepNext/>
      <w:keepLines/>
      <w:numPr>
        <w:ilvl w:val="7"/>
        <w:numId w:val="1"/>
      </w:numPr>
      <w:spacing w:after="0"/>
      <w:outlineLvl w:val="7"/>
    </w:pPr>
    <w:rPr>
      <w:rFonts w:eastAsia="Times New Roman"/>
      <w:i/>
      <w:iCs/>
      <w:color w:val="272727"/>
    </w:rPr>
  </w:style>
  <w:style w:type="paragraph" w:styleId="Nagwek9">
    <w:name w:val="heading 9"/>
    <w:basedOn w:val="Normalny"/>
    <w:next w:val="Normalny"/>
    <w:qFormat/>
    <w:pPr>
      <w:keepNext/>
      <w:keepLines/>
      <w:numPr>
        <w:ilvl w:val="8"/>
        <w:numId w:val="1"/>
      </w:numPr>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libri Light" w:eastAsia="Times New Roman" w:hAnsi="Calibri Light" w:cs="Times New Roman"/>
      <w:color w:val="2F5496"/>
      <w:sz w:val="40"/>
      <w:szCs w:val="40"/>
    </w:rPr>
  </w:style>
  <w:style w:type="character" w:customStyle="1" w:styleId="Nagwek2Znak">
    <w:name w:val="Nagłówek 2 Znak"/>
    <w:basedOn w:val="Domylnaczcionkaakapitu"/>
    <w:qFormat/>
    <w:rPr>
      <w:rFonts w:ascii="Calibri Light" w:eastAsia="Times New Roman" w:hAnsi="Calibri Light" w:cs="Times New Roman"/>
      <w:color w:val="2F5496"/>
      <w:sz w:val="32"/>
      <w:szCs w:val="32"/>
    </w:rPr>
  </w:style>
  <w:style w:type="character" w:customStyle="1" w:styleId="Nagwek3Znak">
    <w:name w:val="Nagłówek 3 Znak"/>
    <w:basedOn w:val="Domylnaczcionkaakapitu"/>
    <w:qFormat/>
    <w:rPr>
      <w:rFonts w:eastAsia="Times New Roman" w:cs="Times New Roman"/>
      <w:color w:val="2F5496"/>
      <w:sz w:val="28"/>
      <w:szCs w:val="28"/>
    </w:rPr>
  </w:style>
  <w:style w:type="character" w:customStyle="1" w:styleId="Nagwek4Znak">
    <w:name w:val="Nagłówek 4 Znak"/>
    <w:basedOn w:val="Domylnaczcionkaakapitu"/>
    <w:qFormat/>
    <w:rPr>
      <w:rFonts w:eastAsia="Times New Roman" w:cs="Times New Roman"/>
      <w:i/>
      <w:iCs/>
      <w:color w:val="2F5496"/>
    </w:rPr>
  </w:style>
  <w:style w:type="character" w:customStyle="1" w:styleId="Nagwek5Znak">
    <w:name w:val="Nagłówek 5 Znak"/>
    <w:basedOn w:val="Domylnaczcionkaakapitu"/>
    <w:qFormat/>
    <w:rPr>
      <w:rFonts w:eastAsia="Times New Roman" w:cs="Times New Roman"/>
      <w:color w:val="2F5496"/>
    </w:rPr>
  </w:style>
  <w:style w:type="character" w:customStyle="1" w:styleId="Nagwek6Znak">
    <w:name w:val="Nagłówek 6 Znak"/>
    <w:basedOn w:val="Domylnaczcionkaakapitu"/>
    <w:qFormat/>
    <w:rPr>
      <w:rFonts w:eastAsia="Times New Roman" w:cs="Times New Roman"/>
      <w:i/>
      <w:iCs/>
      <w:color w:val="595959"/>
    </w:rPr>
  </w:style>
  <w:style w:type="character" w:customStyle="1" w:styleId="Nagwek7Znak">
    <w:name w:val="Nagłówek 7 Znak"/>
    <w:basedOn w:val="Domylnaczcionkaakapitu"/>
    <w:qFormat/>
    <w:rPr>
      <w:rFonts w:eastAsia="Times New Roman" w:cs="Times New Roman"/>
      <w:color w:val="595959"/>
    </w:rPr>
  </w:style>
  <w:style w:type="character" w:customStyle="1" w:styleId="Nagwek8Znak">
    <w:name w:val="Nagłówek 8 Znak"/>
    <w:basedOn w:val="Domylnaczcionkaakapitu"/>
    <w:qFormat/>
    <w:rPr>
      <w:rFonts w:eastAsia="Times New Roman" w:cs="Times New Roman"/>
      <w:i/>
      <w:iCs/>
      <w:color w:val="272727"/>
    </w:rPr>
  </w:style>
  <w:style w:type="character" w:customStyle="1" w:styleId="Nagwek9Znak">
    <w:name w:val="Nagłówek 9 Znak"/>
    <w:basedOn w:val="Domylnaczcionkaakapitu"/>
    <w:qFormat/>
    <w:rPr>
      <w:rFonts w:eastAsia="Times New Roman" w:cs="Times New Roman"/>
      <w:color w:val="272727"/>
    </w:rPr>
  </w:style>
  <w:style w:type="character" w:customStyle="1" w:styleId="TytuZnak">
    <w:name w:val="Tytuł Znak"/>
    <w:basedOn w:val="Domylnaczcionkaakapitu"/>
    <w:qFormat/>
    <w:rPr>
      <w:rFonts w:ascii="Calibri Light" w:eastAsia="Times New Roman" w:hAnsi="Calibri Light" w:cs="Times New Roman"/>
      <w:spacing w:val="-10"/>
      <w:kern w:val="2"/>
      <w:sz w:val="56"/>
      <w:szCs w:val="56"/>
    </w:rPr>
  </w:style>
  <w:style w:type="character" w:customStyle="1" w:styleId="PodtytuZnak">
    <w:name w:val="Podtytuł Znak"/>
    <w:basedOn w:val="Domylnaczcionkaakapitu"/>
    <w:qFormat/>
    <w:rPr>
      <w:rFonts w:eastAsia="Times New Roman" w:cs="Times New Roman"/>
      <w:color w:val="595959"/>
      <w:spacing w:val="15"/>
      <w:sz w:val="28"/>
      <w:szCs w:val="28"/>
    </w:rPr>
  </w:style>
  <w:style w:type="character" w:customStyle="1" w:styleId="CytatZnak">
    <w:name w:val="Cytat Znak"/>
    <w:basedOn w:val="Domylnaczcionkaakapitu"/>
    <w:qFormat/>
    <w:rPr>
      <w:i/>
      <w:iCs/>
      <w:color w:val="404040"/>
    </w:rPr>
  </w:style>
  <w:style w:type="character" w:styleId="Wyrnienieintensywne">
    <w:name w:val="Intense Emphasis"/>
    <w:basedOn w:val="Domylnaczcionkaakapitu"/>
    <w:qFormat/>
    <w:rPr>
      <w:i/>
      <w:iCs/>
      <w:color w:val="2F5496"/>
    </w:rPr>
  </w:style>
  <w:style w:type="character" w:customStyle="1" w:styleId="CytatintensywnyZnak">
    <w:name w:val="Cytat intensywny Znak"/>
    <w:basedOn w:val="Domylnaczcionkaakapitu"/>
    <w:qFormat/>
    <w:rPr>
      <w:i/>
      <w:iCs/>
      <w:color w:val="2F5496"/>
    </w:rPr>
  </w:style>
  <w:style w:type="character" w:styleId="Odwoanieintensywne">
    <w:name w:val="Intense Reference"/>
    <w:basedOn w:val="Domylnaczcionkaakapitu"/>
    <w:qFormat/>
    <w:rPr>
      <w:b/>
      <w:bCs/>
      <w:smallCaps/>
      <w:color w:val="2F5496"/>
      <w:spacing w:val="5"/>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character" w:customStyle="1" w:styleId="WWCharLFO1LVL1">
    <w:name w:val="WW_CharLFO1LVL1"/>
    <w:qFormat/>
    <w:rPr>
      <w:color w:val="auto"/>
    </w:rPr>
  </w:style>
  <w:style w:type="paragraph" w:styleId="Nagwek">
    <w:name w:val="header"/>
    <w:basedOn w:val="Normalny"/>
    <w:next w:val="Tekstpodstawowy"/>
    <w:qFormat/>
    <w:pPr>
      <w:keepNext/>
      <w:spacing w:before="240" w:after="120"/>
    </w:pPr>
    <w:rPr>
      <w:rFonts w:ascii="Liberation Sans" w:eastAsia="MS Gothic" w:hAnsi="Liberation Sans" w:cs="Tahoma"/>
      <w:sz w:val="28"/>
      <w:szCs w:val="28"/>
    </w:rPr>
  </w:style>
  <w:style w:type="paragraph" w:styleId="Tekstpodstawowy">
    <w:name w:val="Body Text"/>
    <w:basedOn w:val="Normalny"/>
    <w:pPr>
      <w:spacing w:after="140"/>
    </w:pPr>
  </w:style>
  <w:style w:type="paragraph" w:styleId="Tytu">
    <w:name w:val="Title"/>
    <w:basedOn w:val="Normalny"/>
    <w:next w:val="Normalny"/>
    <w:uiPriority w:val="10"/>
    <w:qFormat/>
    <w:pPr>
      <w:spacing w:after="80" w:line="240" w:lineRule="auto"/>
      <w:contextualSpacing/>
    </w:pPr>
    <w:rPr>
      <w:rFonts w:ascii="Calibri Light" w:eastAsia="Times New Roman" w:hAnsi="Calibri Light"/>
      <w:spacing w:val="-10"/>
      <w:sz w:val="56"/>
      <w:szCs w:val="56"/>
    </w:rPr>
  </w:style>
  <w:style w:type="paragraph" w:styleId="Podtytu">
    <w:name w:val="Subtitle"/>
    <w:basedOn w:val="Normalny"/>
    <w:next w:val="Normalny"/>
    <w:uiPriority w:val="11"/>
    <w:qFormat/>
    <w:rPr>
      <w:rFonts w:eastAsia="Times New Roman"/>
      <w:color w:val="595959"/>
      <w:spacing w:val="15"/>
      <w:sz w:val="28"/>
      <w:szCs w:val="28"/>
    </w:rPr>
  </w:style>
  <w:style w:type="paragraph" w:styleId="Cytat">
    <w:name w:val="Quote"/>
    <w:basedOn w:val="Normalny"/>
    <w:next w:val="Normalny"/>
    <w:qFormat/>
    <w:pPr>
      <w:spacing w:before="160"/>
      <w:jc w:val="center"/>
    </w:pPr>
    <w:rPr>
      <w:i/>
      <w:iCs/>
      <w:color w:val="404040"/>
    </w:rPr>
  </w:style>
  <w:style w:type="paragraph" w:styleId="Akapitzlist">
    <w:name w:val="List Paragraph"/>
    <w:basedOn w:val="Normalny"/>
    <w:qFormat/>
    <w:pPr>
      <w:ind w:left="720"/>
      <w:contextualSpacing/>
    </w:pPr>
  </w:style>
  <w:style w:type="paragraph" w:styleId="Cytatintensywny">
    <w:name w:val="Intense Quote"/>
    <w:basedOn w:val="Normalny"/>
    <w:next w:val="Normalny"/>
    <w:qFormat/>
    <w:pPr>
      <w:pBdr>
        <w:top w:val="single" w:sz="4" w:space="10" w:color="2F5496"/>
        <w:bottom w:val="single" w:sz="4" w:space="10" w:color="2F5496"/>
      </w:pBdr>
      <w:spacing w:before="360" w:after="360"/>
      <w:ind w:left="864" w:right="864"/>
      <w:jc w:val="center"/>
    </w:pPr>
    <w:rPr>
      <w:i/>
      <w:iCs/>
      <w:color w:val="2F5496"/>
    </w:rPr>
  </w:style>
  <w:style w:type="paragraph" w:customStyle="1" w:styleId="Default">
    <w:name w:val="Default"/>
    <w:qFormat/>
    <w:pPr>
      <w:suppressAutoHyphens/>
      <w:autoSpaceDE w:val="0"/>
      <w:spacing w:line="240" w:lineRule="auto"/>
    </w:pPr>
    <w:rPr>
      <w:rFonts w:ascii="Times New Roman" w:hAnsi="Times New Roman"/>
      <w:color w:val="000000"/>
      <w:kern w:val="0"/>
    </w:rPr>
  </w:style>
  <w:style w:type="paragraph" w:styleId="Tekstkomentarza">
    <w:name w:val="annotation text"/>
    <w:basedOn w:val="Normalny"/>
    <w:qFormat/>
    <w:pPr>
      <w:spacing w:line="240" w:lineRule="auto"/>
    </w:pPr>
    <w:rPr>
      <w:sz w:val="20"/>
      <w:szCs w:val="20"/>
    </w:rPr>
  </w:style>
  <w:style w:type="paragraph" w:styleId="Tematkomentarza">
    <w:name w:val="annotation subject"/>
    <w:basedOn w:val="Tekstkomentarza"/>
    <w:next w:val="Tekstkomentarza"/>
    <w:qFormat/>
    <w:rPr>
      <w:b/>
      <w:bCs/>
    </w:rPr>
  </w:style>
  <w:style w:type="paragraph" w:styleId="Bezodstpw">
    <w:name w:val="No Spacing"/>
    <w:uiPriority w:val="1"/>
    <w:qFormat/>
    <w:rsid w:val="004D312E"/>
    <w:pPr>
      <w:suppressAutoHyphens/>
      <w:spacing w:line="240" w:lineRule="auto"/>
    </w:pPr>
  </w:style>
  <w:style w:type="character" w:customStyle="1" w:styleId="inqyif">
    <w:name w:val="inqyif"/>
    <w:basedOn w:val="Domylnaczcionkaakapitu"/>
    <w:rsid w:val="008165E0"/>
  </w:style>
  <w:style w:type="character" w:styleId="Hipercze">
    <w:name w:val="Hyperlink"/>
    <w:basedOn w:val="Domylnaczcionkaakapitu"/>
    <w:uiPriority w:val="99"/>
    <w:semiHidden/>
    <w:unhideWhenUsed/>
    <w:rsid w:val="00816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8283</Characters>
  <Application>Microsoft Office Word</Application>
  <DocSecurity>4</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User11</cp:lastModifiedBy>
  <cp:revision>2</cp:revision>
  <cp:lastPrinted>2026-08-27T07:51:00Z</cp:lastPrinted>
  <dcterms:created xsi:type="dcterms:W3CDTF">2026-08-27T11:10:00Z</dcterms:created>
  <dcterms:modified xsi:type="dcterms:W3CDTF">2026-08-27T11:10:00Z</dcterms:modified>
  <dc:language>pl-PL</dc:language>
</cp:coreProperties>
</file>